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5C1" w:rsidRPr="00D12298" w:rsidRDefault="009C0F97" w:rsidP="009C0F97">
      <w:pPr>
        <w:spacing w:after="240"/>
        <w:jc w:val="center"/>
        <w:rPr>
          <w:rFonts w:cs="Arial"/>
          <w:b/>
          <w:bCs/>
          <w:i/>
          <w:szCs w:val="20"/>
        </w:rPr>
      </w:pPr>
      <w:r>
        <w:rPr>
          <w:rFonts w:cs="Arial"/>
          <w:b/>
          <w:bCs/>
          <w:i/>
          <w:szCs w:val="20"/>
        </w:rPr>
        <w:t>Présentation sommaire du volet 1 du PAI2</w:t>
      </w:r>
    </w:p>
    <w:p w:rsidR="005E55C1" w:rsidRPr="00D12298" w:rsidRDefault="005E55C1" w:rsidP="005E55C1">
      <w:pPr>
        <w:rPr>
          <w:rFonts w:cs="Arial"/>
          <w:bCs/>
          <w:szCs w:val="20"/>
        </w:rPr>
      </w:pPr>
      <w:r w:rsidRPr="00D12298">
        <w:rPr>
          <w:rFonts w:cs="Arial"/>
          <w:bCs/>
          <w:szCs w:val="20"/>
        </w:rPr>
        <w:t>Le Projet d’appui à la gestion du développement et de l’aide (le Projet) constitue le premier volet du Programme d’Appui Institutionnel à l’</w:t>
      </w:r>
      <w:r w:rsidR="00D12298">
        <w:rPr>
          <w:rFonts w:cs="Arial"/>
          <w:bCs/>
          <w:szCs w:val="20"/>
        </w:rPr>
        <w:t xml:space="preserve">Etat Togolais, </w:t>
      </w:r>
      <w:r w:rsidRPr="00D12298">
        <w:rPr>
          <w:rFonts w:cs="Arial"/>
          <w:bCs/>
          <w:szCs w:val="20"/>
        </w:rPr>
        <w:t xml:space="preserve">phase 2 (PAI-2). </w:t>
      </w:r>
    </w:p>
    <w:p w:rsidR="005E55C1" w:rsidRPr="00D12298" w:rsidRDefault="005E55C1" w:rsidP="005E55C1">
      <w:pPr>
        <w:rPr>
          <w:szCs w:val="20"/>
        </w:rPr>
      </w:pPr>
    </w:p>
    <w:p w:rsidR="005E55C1" w:rsidRPr="00D12298" w:rsidRDefault="005E55C1" w:rsidP="005E55C1">
      <w:pPr>
        <w:rPr>
          <w:szCs w:val="20"/>
        </w:rPr>
      </w:pPr>
      <w:r w:rsidRPr="00D12298">
        <w:rPr>
          <w:szCs w:val="20"/>
        </w:rPr>
        <w:t xml:space="preserve">Le projet est financé par l’Union Européenne et exécuté par le PNUD. </w:t>
      </w:r>
      <w:r w:rsidR="00D12298">
        <w:rPr>
          <w:szCs w:val="20"/>
        </w:rPr>
        <w:t xml:space="preserve">Sa durée est de </w:t>
      </w:r>
      <w:r w:rsidR="00D12298" w:rsidRPr="00D12298">
        <w:rPr>
          <w:szCs w:val="20"/>
        </w:rPr>
        <w:t xml:space="preserve">de 3 ans (2013-2015) </w:t>
      </w:r>
      <w:r w:rsidR="00D12298">
        <w:rPr>
          <w:szCs w:val="20"/>
        </w:rPr>
        <w:t xml:space="preserve">et son </w:t>
      </w:r>
      <w:r w:rsidRPr="00D12298">
        <w:rPr>
          <w:szCs w:val="20"/>
        </w:rPr>
        <w:t xml:space="preserve">budget total est de 2.100.000 </w:t>
      </w:r>
      <w:r w:rsidR="00D12298" w:rsidRPr="00D12298">
        <w:rPr>
          <w:szCs w:val="20"/>
        </w:rPr>
        <w:t>euros</w:t>
      </w:r>
      <w:r w:rsidR="009C0F97">
        <w:rPr>
          <w:szCs w:val="20"/>
        </w:rPr>
        <w:t xml:space="preserve"> un peu moins de 1,380 milliard francs CFA</w:t>
      </w:r>
      <w:r w:rsidR="00D12298" w:rsidRPr="00D12298">
        <w:rPr>
          <w:szCs w:val="20"/>
        </w:rPr>
        <w:t xml:space="preserve">. </w:t>
      </w:r>
    </w:p>
    <w:p w:rsidR="005E55C1" w:rsidRPr="00D12298" w:rsidRDefault="005E55C1" w:rsidP="005E55C1">
      <w:pPr>
        <w:rPr>
          <w:szCs w:val="20"/>
        </w:rPr>
      </w:pPr>
    </w:p>
    <w:p w:rsidR="005E55C1" w:rsidRPr="00D12298" w:rsidRDefault="005E55C1" w:rsidP="005E55C1">
      <w:pPr>
        <w:rPr>
          <w:szCs w:val="20"/>
        </w:rPr>
      </w:pPr>
      <w:r w:rsidRPr="00D12298">
        <w:rPr>
          <w:szCs w:val="20"/>
        </w:rPr>
        <w:t xml:space="preserve">Les principales institutions bénéficiaires des actions du projet sont : </w:t>
      </w:r>
    </w:p>
    <w:p w:rsidR="005E55C1" w:rsidRPr="00D12298" w:rsidRDefault="005E55C1" w:rsidP="005E55C1">
      <w:pPr>
        <w:numPr>
          <w:ilvl w:val="0"/>
          <w:numId w:val="9"/>
        </w:numPr>
        <w:rPr>
          <w:szCs w:val="20"/>
        </w:rPr>
      </w:pPr>
      <w:r w:rsidRPr="00D12298">
        <w:rPr>
          <w:szCs w:val="20"/>
        </w:rPr>
        <w:t>le Ministère chargé de la Planification du Développement et de l’Aménagement du Territoire (MPDAT) dans son ensemble ;</w:t>
      </w:r>
    </w:p>
    <w:p w:rsidR="005E55C1" w:rsidRPr="00D12298" w:rsidRDefault="005E55C1" w:rsidP="005E55C1">
      <w:pPr>
        <w:numPr>
          <w:ilvl w:val="0"/>
          <w:numId w:val="9"/>
        </w:numPr>
        <w:rPr>
          <w:szCs w:val="20"/>
        </w:rPr>
      </w:pPr>
      <w:r w:rsidRPr="00D12298">
        <w:rPr>
          <w:szCs w:val="20"/>
        </w:rPr>
        <w:t>l’ensemble des ministères, en particulier, leurs directions en charge des fonctions de PPBSE</w:t>
      </w:r>
      <w:r w:rsidR="009C0F97">
        <w:rPr>
          <w:szCs w:val="20"/>
        </w:rPr>
        <w:t xml:space="preserve"> (Planification-Programmation-Budgétisation-Suivi-Evaluation)</w:t>
      </w:r>
      <w:r w:rsidRPr="00D12298">
        <w:rPr>
          <w:szCs w:val="20"/>
        </w:rPr>
        <w:t> ;</w:t>
      </w:r>
    </w:p>
    <w:p w:rsidR="005E55C1" w:rsidRPr="00D12298" w:rsidRDefault="005E55C1" w:rsidP="005E55C1">
      <w:pPr>
        <w:numPr>
          <w:ilvl w:val="0"/>
          <w:numId w:val="9"/>
        </w:numPr>
        <w:rPr>
          <w:szCs w:val="20"/>
        </w:rPr>
      </w:pPr>
      <w:r w:rsidRPr="00D12298">
        <w:rPr>
          <w:szCs w:val="20"/>
        </w:rPr>
        <w:t>les organes du DIPD, en l’occurrence les comités sectoriels et le ST-DSRP.</w:t>
      </w:r>
    </w:p>
    <w:p w:rsidR="005E55C1" w:rsidRPr="00D12298" w:rsidRDefault="005E55C1" w:rsidP="005E55C1">
      <w:pPr>
        <w:rPr>
          <w:szCs w:val="20"/>
        </w:rPr>
      </w:pPr>
    </w:p>
    <w:p w:rsidR="005E55C1" w:rsidRPr="00D12298" w:rsidRDefault="005E55C1" w:rsidP="005E55C1">
      <w:pPr>
        <w:rPr>
          <w:szCs w:val="20"/>
        </w:rPr>
      </w:pPr>
      <w:r w:rsidRPr="00D12298">
        <w:rPr>
          <w:szCs w:val="20"/>
        </w:rPr>
        <w:t>Plus globalement, le projet bénéficiera aux populations togolaises grâce à une meilleure mise en œuvre et une augmentation du niveau des investissements dans les secteurs clés et une amélioration de la gouvernance économique et financière.</w:t>
      </w:r>
    </w:p>
    <w:p w:rsidR="00192BE2" w:rsidRPr="00D12298" w:rsidRDefault="00192BE2" w:rsidP="005E55C1">
      <w:pPr>
        <w:rPr>
          <w:szCs w:val="20"/>
        </w:rPr>
      </w:pPr>
    </w:p>
    <w:p w:rsidR="00192BE2" w:rsidRPr="00D12298" w:rsidRDefault="00192BE2" w:rsidP="005E55C1">
      <w:pPr>
        <w:rPr>
          <w:szCs w:val="20"/>
        </w:rPr>
      </w:pPr>
      <w:r w:rsidRPr="00D12298">
        <w:rPr>
          <w:szCs w:val="20"/>
        </w:rPr>
        <w:t>L’objectif global du projet est de contribuer à la réduction de la pauvreté au Togo.</w:t>
      </w:r>
    </w:p>
    <w:p w:rsidR="00192BE2" w:rsidRPr="00D12298" w:rsidRDefault="00192BE2" w:rsidP="00192BE2">
      <w:pPr>
        <w:rPr>
          <w:szCs w:val="20"/>
        </w:rPr>
      </w:pPr>
      <w:r w:rsidRPr="00D12298">
        <w:rPr>
          <w:szCs w:val="20"/>
        </w:rPr>
        <w:t>Ses objectifs spécifiques sont :</w:t>
      </w:r>
    </w:p>
    <w:p w:rsidR="00192BE2" w:rsidRPr="00D12298" w:rsidRDefault="00192BE2" w:rsidP="00192BE2">
      <w:pPr>
        <w:rPr>
          <w:szCs w:val="20"/>
        </w:rPr>
      </w:pPr>
      <w:r w:rsidRPr="00D12298">
        <w:rPr>
          <w:szCs w:val="20"/>
        </w:rPr>
        <w:t>•</w:t>
      </w:r>
      <w:r w:rsidRPr="00D12298">
        <w:rPr>
          <w:szCs w:val="20"/>
        </w:rPr>
        <w:tab/>
        <w:t xml:space="preserve">créer les conditions institutionnelles, techniques et financières permettant d’assurer un fonctionnement efficace et pérenne du Dispositif Institutionnel de coordination et de suivi des Politiques de Développement (DIPD) ainsi que l’élaboration d’une stratégie de suivi-évaluation de la Stratégie de Croissance Accélérée et de Promotion de l’Emploi (SCAPE 2013-2017); </w:t>
      </w:r>
    </w:p>
    <w:p w:rsidR="00192BE2" w:rsidRPr="00D12298" w:rsidRDefault="00192BE2" w:rsidP="00192BE2">
      <w:pPr>
        <w:rPr>
          <w:szCs w:val="20"/>
        </w:rPr>
      </w:pPr>
      <w:r w:rsidRPr="00D12298">
        <w:rPr>
          <w:szCs w:val="20"/>
        </w:rPr>
        <w:t>•</w:t>
      </w:r>
      <w:r w:rsidRPr="00D12298">
        <w:rPr>
          <w:szCs w:val="20"/>
        </w:rPr>
        <w:tab/>
        <w:t>permettre aux ministères prioritaires de disposer de documents de politique de stratégies et plans d’action sectoriels et de reconstruire leur système de planification et de suivi-évaluation;</w:t>
      </w:r>
    </w:p>
    <w:p w:rsidR="00192BE2" w:rsidRPr="00D12298" w:rsidRDefault="00192BE2" w:rsidP="00192BE2">
      <w:pPr>
        <w:rPr>
          <w:szCs w:val="20"/>
        </w:rPr>
      </w:pPr>
      <w:r w:rsidRPr="00D12298">
        <w:rPr>
          <w:szCs w:val="20"/>
        </w:rPr>
        <w:t>•</w:t>
      </w:r>
      <w:r w:rsidRPr="00D12298">
        <w:rPr>
          <w:szCs w:val="20"/>
        </w:rPr>
        <w:tab/>
        <w:t>soutenir le renforcement des capacités institutionnelles et techniques du ministère en charge de la planification dans ses missions de réflexion et de pilotage stratégiques;</w:t>
      </w:r>
    </w:p>
    <w:p w:rsidR="00D12298" w:rsidRDefault="00192BE2" w:rsidP="00192BE2">
      <w:pPr>
        <w:rPr>
          <w:szCs w:val="20"/>
        </w:rPr>
      </w:pPr>
      <w:r w:rsidRPr="00D12298">
        <w:rPr>
          <w:szCs w:val="20"/>
        </w:rPr>
        <w:t>•</w:t>
      </w:r>
      <w:r w:rsidRPr="00D12298">
        <w:rPr>
          <w:szCs w:val="20"/>
        </w:rPr>
        <w:tab/>
        <w:t>mettre en place un cadre de référence, les mécanismes de coordination et le système d’informations permettant au Togo d’assurer une gestion et une mobilisation de l’aide extérieure efficace.</w:t>
      </w:r>
    </w:p>
    <w:p w:rsidR="00D12298" w:rsidRPr="00D12298" w:rsidRDefault="00D12298" w:rsidP="00192BE2">
      <w:pPr>
        <w:rPr>
          <w:szCs w:val="20"/>
        </w:rPr>
      </w:pPr>
    </w:p>
    <w:p w:rsidR="005E55C1" w:rsidRDefault="005E55C1" w:rsidP="00D12298">
      <w:pPr>
        <w:pStyle w:val="Titre2"/>
        <w:spacing w:before="0" w:after="0"/>
        <w:ind w:left="360"/>
        <w:rPr>
          <w:sz w:val="20"/>
          <w:szCs w:val="20"/>
        </w:rPr>
      </w:pPr>
      <w:bookmarkStart w:id="0" w:name="_Toc306117682"/>
      <w:bookmarkStart w:id="1" w:name="_Toc333477776"/>
      <w:r w:rsidRPr="00D12298">
        <w:rPr>
          <w:sz w:val="20"/>
          <w:szCs w:val="20"/>
        </w:rPr>
        <w:lastRenderedPageBreak/>
        <w:t>Axes d’intervention du projet</w:t>
      </w:r>
      <w:bookmarkEnd w:id="0"/>
      <w:bookmarkEnd w:id="1"/>
    </w:p>
    <w:p w:rsidR="00D12298" w:rsidRPr="00D12298" w:rsidRDefault="00D12298" w:rsidP="00D12298"/>
    <w:p w:rsidR="005E55C1" w:rsidRPr="00D12298" w:rsidRDefault="005E55C1" w:rsidP="005E55C1">
      <w:pPr>
        <w:spacing w:line="276" w:lineRule="auto"/>
        <w:rPr>
          <w:rFonts w:cs="Arial"/>
          <w:szCs w:val="20"/>
        </w:rPr>
      </w:pPr>
      <w:r w:rsidRPr="00D12298">
        <w:rPr>
          <w:rFonts w:cs="Arial"/>
          <w:szCs w:val="20"/>
        </w:rPr>
        <w:t>Les axes d’intervention et les activités du projet s’articulent autour de l’objectif général et des objectifs spécifiques identifiés ci-dessus. Ainsi, le projet comporte quatre composantes :</w:t>
      </w:r>
    </w:p>
    <w:p w:rsidR="005E55C1" w:rsidRPr="00D12298" w:rsidRDefault="005E55C1" w:rsidP="005E55C1">
      <w:pPr>
        <w:numPr>
          <w:ilvl w:val="0"/>
          <w:numId w:val="4"/>
        </w:numPr>
        <w:rPr>
          <w:szCs w:val="20"/>
        </w:rPr>
      </w:pPr>
      <w:r w:rsidRPr="00D12298">
        <w:rPr>
          <w:szCs w:val="20"/>
        </w:rPr>
        <w:t>Pilotage et suivi-évaluation du DSRP II ;</w:t>
      </w:r>
    </w:p>
    <w:p w:rsidR="005E55C1" w:rsidRPr="00D12298" w:rsidRDefault="005E55C1" w:rsidP="005E55C1">
      <w:pPr>
        <w:numPr>
          <w:ilvl w:val="0"/>
          <w:numId w:val="4"/>
        </w:numPr>
        <w:rPr>
          <w:szCs w:val="20"/>
        </w:rPr>
      </w:pPr>
      <w:r w:rsidRPr="00D12298">
        <w:rPr>
          <w:szCs w:val="20"/>
        </w:rPr>
        <w:t>Nouveaux cadres de planification, de programmation et de gestion des investissements publics ;</w:t>
      </w:r>
    </w:p>
    <w:p w:rsidR="005E55C1" w:rsidRPr="00D12298" w:rsidRDefault="005E55C1" w:rsidP="005E55C1">
      <w:pPr>
        <w:numPr>
          <w:ilvl w:val="0"/>
          <w:numId w:val="4"/>
        </w:numPr>
        <w:rPr>
          <w:szCs w:val="20"/>
        </w:rPr>
      </w:pPr>
      <w:r w:rsidRPr="00D12298">
        <w:rPr>
          <w:szCs w:val="20"/>
        </w:rPr>
        <w:t>Développement organisationnel et stratégique du MPDAT ;</w:t>
      </w:r>
    </w:p>
    <w:p w:rsidR="005E55C1" w:rsidRDefault="005E55C1" w:rsidP="005E55C1">
      <w:pPr>
        <w:numPr>
          <w:ilvl w:val="0"/>
          <w:numId w:val="4"/>
        </w:numPr>
        <w:rPr>
          <w:szCs w:val="20"/>
        </w:rPr>
      </w:pPr>
      <w:r w:rsidRPr="00D12298">
        <w:rPr>
          <w:szCs w:val="20"/>
        </w:rPr>
        <w:t>Coordination de la gestion et de la mobilisation de l’aide.</w:t>
      </w:r>
    </w:p>
    <w:p w:rsidR="00D12298" w:rsidRPr="00D12298" w:rsidRDefault="00D12298" w:rsidP="00D12298">
      <w:pPr>
        <w:ind w:left="142"/>
        <w:rPr>
          <w:szCs w:val="20"/>
        </w:rPr>
      </w:pPr>
    </w:p>
    <w:p w:rsidR="005E55C1" w:rsidRDefault="005E55C1" w:rsidP="00D12298">
      <w:pPr>
        <w:pStyle w:val="Titre2"/>
        <w:spacing w:before="0" w:after="0"/>
        <w:ind w:left="360"/>
        <w:rPr>
          <w:sz w:val="20"/>
          <w:szCs w:val="20"/>
        </w:rPr>
      </w:pPr>
      <w:bookmarkStart w:id="2" w:name="_Toc306117687"/>
      <w:bookmarkStart w:id="3" w:name="_Toc333477777"/>
      <w:r w:rsidRPr="00D12298">
        <w:rPr>
          <w:sz w:val="20"/>
          <w:szCs w:val="20"/>
        </w:rPr>
        <w:t>Résultats attendus</w:t>
      </w:r>
      <w:bookmarkEnd w:id="2"/>
      <w:bookmarkEnd w:id="3"/>
    </w:p>
    <w:p w:rsidR="00D12298" w:rsidRPr="00D12298" w:rsidRDefault="00D12298" w:rsidP="00D12298"/>
    <w:p w:rsidR="005E55C1" w:rsidRPr="00D12298" w:rsidRDefault="005E55C1" w:rsidP="005E55C1">
      <w:pPr>
        <w:numPr>
          <w:ilvl w:val="0"/>
          <w:numId w:val="10"/>
        </w:numPr>
        <w:rPr>
          <w:szCs w:val="20"/>
        </w:rPr>
      </w:pPr>
      <w:r w:rsidRPr="00D12298">
        <w:rPr>
          <w:szCs w:val="20"/>
        </w:rPr>
        <w:t xml:space="preserve">Les conditions institutionnelles et techniques sont créées pour assurer un fonctionnement efficace et pérenne du DIPD et l'opérationnalisation du système de suivi-évaluation </w:t>
      </w:r>
      <w:r w:rsidR="00D12298">
        <w:rPr>
          <w:szCs w:val="20"/>
        </w:rPr>
        <w:t>de la SCAPE.</w:t>
      </w:r>
    </w:p>
    <w:p w:rsidR="005E55C1" w:rsidRPr="00D12298" w:rsidRDefault="005E55C1" w:rsidP="005E55C1">
      <w:pPr>
        <w:ind w:left="720"/>
        <w:rPr>
          <w:szCs w:val="20"/>
        </w:rPr>
      </w:pPr>
    </w:p>
    <w:p w:rsidR="005E55C1" w:rsidRPr="00D12298" w:rsidRDefault="005E55C1" w:rsidP="005E55C1">
      <w:pPr>
        <w:numPr>
          <w:ilvl w:val="0"/>
          <w:numId w:val="10"/>
        </w:numPr>
        <w:rPr>
          <w:szCs w:val="20"/>
        </w:rPr>
      </w:pPr>
      <w:r w:rsidRPr="00D12298">
        <w:rPr>
          <w:szCs w:val="20"/>
        </w:rPr>
        <w:t>Les ministères des secteurs prioritaires disposent de capacités suffisantes de Planifica</w:t>
      </w:r>
      <w:r w:rsidR="00D12298">
        <w:rPr>
          <w:szCs w:val="20"/>
        </w:rPr>
        <w:t>tion, de suivi et d’évaluation.</w:t>
      </w:r>
    </w:p>
    <w:p w:rsidR="005E55C1" w:rsidRPr="00D12298" w:rsidRDefault="005E55C1" w:rsidP="005E55C1">
      <w:pPr>
        <w:rPr>
          <w:szCs w:val="20"/>
        </w:rPr>
      </w:pPr>
    </w:p>
    <w:p w:rsidR="005E55C1" w:rsidRPr="00D12298" w:rsidRDefault="005E55C1" w:rsidP="005E55C1">
      <w:pPr>
        <w:pStyle w:val="Liste1puce"/>
        <w:numPr>
          <w:ilvl w:val="0"/>
          <w:numId w:val="10"/>
        </w:numPr>
        <w:spacing w:before="0" w:after="120"/>
        <w:contextualSpacing/>
        <w:rPr>
          <w:rFonts w:ascii="Arial" w:hAnsi="Arial"/>
          <w:sz w:val="20"/>
        </w:rPr>
      </w:pPr>
      <w:r w:rsidRPr="00D12298">
        <w:rPr>
          <w:rFonts w:ascii="Arial" w:hAnsi="Arial"/>
          <w:sz w:val="20"/>
        </w:rPr>
        <w:t>Les capacités organisationnelles et les compétences du personnel du Ministère de la Planification, du Développement et de l'Aménagement du Territoire (MPDAT) sont renforcées pour une meilleure efficacité dans la planification, le suivi-évaluation des projets  et programmes et l’aménagement du territoire ainsi que la gestion des ressources ;</w:t>
      </w:r>
    </w:p>
    <w:p w:rsidR="005E55C1" w:rsidRPr="00D12298" w:rsidRDefault="005E55C1" w:rsidP="005E55C1">
      <w:pPr>
        <w:rPr>
          <w:szCs w:val="20"/>
        </w:rPr>
      </w:pPr>
    </w:p>
    <w:p w:rsidR="005E55C1" w:rsidRPr="00D12298" w:rsidRDefault="005E55C1" w:rsidP="005E55C1">
      <w:pPr>
        <w:numPr>
          <w:ilvl w:val="0"/>
          <w:numId w:val="10"/>
        </w:numPr>
        <w:rPr>
          <w:szCs w:val="20"/>
        </w:rPr>
      </w:pPr>
      <w:r w:rsidRPr="00D12298">
        <w:rPr>
          <w:szCs w:val="20"/>
        </w:rPr>
        <w:t>Des mécanismes de coordination et un système d'informations sont mis en place pour permettre au Togo d'assurer une meilleu</w:t>
      </w:r>
      <w:r w:rsidR="00906862" w:rsidRPr="00D12298">
        <w:rPr>
          <w:szCs w:val="20"/>
        </w:rPr>
        <w:t xml:space="preserve">re gestion de l'aide extérieure. </w:t>
      </w:r>
      <w:r w:rsidRPr="00D12298">
        <w:rPr>
          <w:szCs w:val="20"/>
        </w:rPr>
        <w:t>Les performances pour la mobilisation des fonds d’aide sont améliorées et le montant de l’aide est en augmentation ainsi que le nombre de partenaires financiers.</w:t>
      </w:r>
    </w:p>
    <w:p w:rsidR="001E7DEC" w:rsidRPr="00D12298" w:rsidRDefault="001E7DEC">
      <w:pPr>
        <w:rPr>
          <w:szCs w:val="20"/>
        </w:rPr>
      </w:pPr>
    </w:p>
    <w:p w:rsidR="00906862" w:rsidRPr="00D12298" w:rsidRDefault="00345B5A" w:rsidP="00906862">
      <w:pPr>
        <w:rPr>
          <w:szCs w:val="20"/>
        </w:rPr>
      </w:pPr>
      <w:r>
        <w:rPr>
          <w:szCs w:val="20"/>
        </w:rPr>
        <w:t xml:space="preserve">Les progrès vers l’atteinte des résultats s’établissent comme </w:t>
      </w:r>
      <w:r w:rsidR="00906862" w:rsidRPr="00D12298">
        <w:rPr>
          <w:szCs w:val="20"/>
        </w:rPr>
        <w:t xml:space="preserve">suit : </w:t>
      </w:r>
    </w:p>
    <w:p w:rsidR="00345B5A" w:rsidRDefault="00345B5A" w:rsidP="00906862">
      <w:pPr>
        <w:rPr>
          <w:szCs w:val="20"/>
        </w:rPr>
      </w:pPr>
    </w:p>
    <w:p w:rsidR="00906862" w:rsidRPr="00D12298" w:rsidRDefault="00906862" w:rsidP="00906862">
      <w:pPr>
        <w:rPr>
          <w:szCs w:val="20"/>
        </w:rPr>
      </w:pPr>
      <w:r w:rsidRPr="00D12298">
        <w:rPr>
          <w:szCs w:val="20"/>
        </w:rPr>
        <w:t xml:space="preserve">Dans le cadre de l’appui au pilotage et au suivi-évaluation de la SCAPE, </w:t>
      </w:r>
      <w:r w:rsidR="00D12298">
        <w:rPr>
          <w:szCs w:val="20"/>
        </w:rPr>
        <w:t xml:space="preserve">les activités mises en œuvre ont permis d’obtenir </w:t>
      </w:r>
      <w:r w:rsidRPr="00D12298">
        <w:rPr>
          <w:szCs w:val="20"/>
        </w:rPr>
        <w:t xml:space="preserve">les produits </w:t>
      </w:r>
      <w:r w:rsidR="00D12298">
        <w:rPr>
          <w:szCs w:val="20"/>
        </w:rPr>
        <w:t xml:space="preserve">suivants </w:t>
      </w:r>
      <w:r w:rsidRPr="00D12298">
        <w:rPr>
          <w:szCs w:val="20"/>
        </w:rPr>
        <w:t>: (i) un système de suivi-évaluation autour de la mise en œuvre de la SCAPE</w:t>
      </w:r>
      <w:r w:rsidR="00D12298">
        <w:rPr>
          <w:szCs w:val="20"/>
        </w:rPr>
        <w:t xml:space="preserve"> a été élaboré et mis en œuvre</w:t>
      </w:r>
      <w:r w:rsidRPr="00D12298">
        <w:rPr>
          <w:szCs w:val="20"/>
        </w:rPr>
        <w:t xml:space="preserve">; (ii) un </w:t>
      </w:r>
      <w:r w:rsidRPr="00D12298">
        <w:rPr>
          <w:szCs w:val="20"/>
        </w:rPr>
        <w:lastRenderedPageBreak/>
        <w:t xml:space="preserve">programme de renforcement des capacités des cadres du ST-DSRP et des membres des secrétariats techniques des comités sectoriels </w:t>
      </w:r>
      <w:r w:rsidR="00D12298">
        <w:rPr>
          <w:szCs w:val="20"/>
        </w:rPr>
        <w:t xml:space="preserve">a été élaboré et mis en </w:t>
      </w:r>
      <w:r w:rsidR="00345B5A">
        <w:rPr>
          <w:szCs w:val="20"/>
        </w:rPr>
        <w:t>œuvre</w:t>
      </w:r>
      <w:r w:rsidRPr="00D12298">
        <w:rPr>
          <w:szCs w:val="20"/>
        </w:rPr>
        <w:t xml:space="preserve">;  (iii) l’animation du DIPD </w:t>
      </w:r>
      <w:r w:rsidR="00345B5A">
        <w:rPr>
          <w:szCs w:val="20"/>
        </w:rPr>
        <w:t>est effective et</w:t>
      </w:r>
      <w:r w:rsidRPr="00D12298">
        <w:rPr>
          <w:szCs w:val="20"/>
        </w:rPr>
        <w:t xml:space="preserve"> la revue annuelle co</w:t>
      </w:r>
      <w:r w:rsidR="00345B5A">
        <w:rPr>
          <w:szCs w:val="20"/>
        </w:rPr>
        <w:t>njointe au titre de l’année 2014 est programmée</w:t>
      </w:r>
      <w:r w:rsidRPr="00D12298">
        <w:rPr>
          <w:szCs w:val="20"/>
        </w:rPr>
        <w:t xml:space="preserve">. </w:t>
      </w:r>
    </w:p>
    <w:p w:rsidR="00345B5A" w:rsidRDefault="00345B5A" w:rsidP="00906862">
      <w:pPr>
        <w:rPr>
          <w:szCs w:val="20"/>
        </w:rPr>
      </w:pPr>
    </w:p>
    <w:p w:rsidR="00906862" w:rsidRPr="00D12298" w:rsidRDefault="00906862" w:rsidP="00906862">
      <w:pPr>
        <w:rPr>
          <w:szCs w:val="20"/>
        </w:rPr>
      </w:pPr>
      <w:r w:rsidRPr="00D12298">
        <w:rPr>
          <w:szCs w:val="20"/>
        </w:rPr>
        <w:t>S’agissant de l’appui au cadre de planification et de suivi-évaluation, les produits suivants ont été réalisés : (i)une version préliminaire de document-cadre du système national de la planification</w:t>
      </w:r>
      <w:r w:rsidR="00345B5A">
        <w:rPr>
          <w:szCs w:val="20"/>
        </w:rPr>
        <w:t xml:space="preserve"> est élaborée</w:t>
      </w:r>
      <w:r w:rsidRPr="00D12298">
        <w:rPr>
          <w:szCs w:val="20"/>
        </w:rPr>
        <w:t xml:space="preserve">; (ii) </w:t>
      </w:r>
      <w:r w:rsidR="00345B5A">
        <w:rPr>
          <w:szCs w:val="20"/>
        </w:rPr>
        <w:t>un programme d</w:t>
      </w:r>
      <w:r w:rsidRPr="00D12298">
        <w:rPr>
          <w:szCs w:val="20"/>
        </w:rPr>
        <w:t>’accompagnement technique des ministères sectoriels dans la consolidation de la chaîne PPBSE</w:t>
      </w:r>
      <w:r w:rsidR="00345B5A">
        <w:rPr>
          <w:szCs w:val="20"/>
        </w:rPr>
        <w:t xml:space="preserve"> est élaboré et mis en œuvre</w:t>
      </w:r>
      <w:r w:rsidRPr="00D12298">
        <w:rPr>
          <w:szCs w:val="20"/>
        </w:rPr>
        <w:t xml:space="preserve">;  (iii) le cadre programmatique des ministères prioritaires </w:t>
      </w:r>
      <w:r w:rsidR="00345B5A">
        <w:rPr>
          <w:szCs w:val="20"/>
        </w:rPr>
        <w:t>est renforcé</w:t>
      </w:r>
      <w:r w:rsidRPr="00D12298">
        <w:rPr>
          <w:szCs w:val="20"/>
        </w:rPr>
        <w:t>; (iv) des propositions en vue d’une meilleure coordination des appuis au MPDAT en matière de suivi-évaluation</w:t>
      </w:r>
      <w:r w:rsidR="00345B5A">
        <w:rPr>
          <w:szCs w:val="20"/>
        </w:rPr>
        <w:t xml:space="preserve"> ont été formulées</w:t>
      </w:r>
      <w:r w:rsidRPr="00D12298">
        <w:rPr>
          <w:szCs w:val="20"/>
        </w:rPr>
        <w:t>.</w:t>
      </w:r>
    </w:p>
    <w:p w:rsidR="00345B5A" w:rsidRDefault="00345B5A" w:rsidP="00906862">
      <w:pPr>
        <w:rPr>
          <w:szCs w:val="20"/>
        </w:rPr>
      </w:pPr>
    </w:p>
    <w:p w:rsidR="00906862" w:rsidRPr="00D12298" w:rsidRDefault="00906862" w:rsidP="00906862">
      <w:pPr>
        <w:rPr>
          <w:szCs w:val="20"/>
        </w:rPr>
      </w:pPr>
      <w:r w:rsidRPr="00D12298">
        <w:rPr>
          <w:szCs w:val="20"/>
        </w:rPr>
        <w:t>Pour l’appui au développement organisationnel et stratégique du MPDAT, les produits obtenus sont relatifs à : (i) l’organigramme du MPDAT; (ii) le mécanisme de Gestion des Ressources Humaines (GRH) ; (iii) l’audit organisationnel et institutionnel du MPDAT ; (iv) l’élaboration du schéma directeur informatique du MPDAT ; et (v) la mise en œuvre d’un mécanisme de renforcement de la communication interne et externe.</w:t>
      </w:r>
    </w:p>
    <w:p w:rsidR="00345B5A" w:rsidRDefault="00345B5A" w:rsidP="00906862">
      <w:pPr>
        <w:rPr>
          <w:szCs w:val="20"/>
        </w:rPr>
      </w:pPr>
    </w:p>
    <w:p w:rsidR="00906862" w:rsidRDefault="00906862" w:rsidP="00906862">
      <w:pPr>
        <w:rPr>
          <w:szCs w:val="20"/>
        </w:rPr>
      </w:pPr>
      <w:r w:rsidRPr="00D12298">
        <w:rPr>
          <w:szCs w:val="20"/>
        </w:rPr>
        <w:t>En matière d’appui à la coordination et à la gestion de l’aide, les produits ci-après ont été réalisés : (i) un rapport diagnostique sur la situation de l’aide au Togo après 2008 (Bilan 2008 +5) ; (ii) une stratégie nationale de partenariat et de mobilisation de ressources; (iii) la mise en œuvre d’actions pour la mobilisation; (iv) le renforcement des capacités conformément aux besoins pour une coordination et mobilisation plus efficace; (v) des outils de communications en appui à la mobilisation de ressources.</w:t>
      </w:r>
    </w:p>
    <w:p w:rsidR="009C0F97" w:rsidRDefault="009C0F97" w:rsidP="00906862">
      <w:pPr>
        <w:rPr>
          <w:szCs w:val="20"/>
        </w:rPr>
      </w:pPr>
    </w:p>
    <w:p w:rsidR="009C0F97" w:rsidRDefault="009C0F97">
      <w:pPr>
        <w:spacing w:after="160" w:line="259" w:lineRule="auto"/>
        <w:jc w:val="left"/>
        <w:rPr>
          <w:szCs w:val="20"/>
        </w:rPr>
      </w:pPr>
      <w:r>
        <w:rPr>
          <w:szCs w:val="20"/>
        </w:rPr>
        <w:br w:type="page"/>
      </w:r>
    </w:p>
    <w:p w:rsidR="009C0F97" w:rsidRPr="00D12298" w:rsidRDefault="009C0F97" w:rsidP="00906862">
      <w:pPr>
        <w:rPr>
          <w:szCs w:val="20"/>
        </w:rPr>
      </w:pPr>
      <w:r>
        <w:rPr>
          <w:szCs w:val="20"/>
        </w:rPr>
        <w:t xml:space="preserve">Temps forts de la planification </w:t>
      </w:r>
      <w:bookmarkStart w:id="4" w:name="_GoBack"/>
      <w:bookmarkEnd w:id="4"/>
    </w:p>
    <w:sectPr w:rsidR="009C0F97" w:rsidRPr="00D12298" w:rsidSect="00FC7339">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450"/>
    <w:multiLevelType w:val="hybridMultilevel"/>
    <w:tmpl w:val="3A0AE9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4336FCD"/>
    <w:multiLevelType w:val="hybridMultilevel"/>
    <w:tmpl w:val="C6704D50"/>
    <w:lvl w:ilvl="0" w:tplc="8654D3C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432F19"/>
    <w:multiLevelType w:val="hybridMultilevel"/>
    <w:tmpl w:val="C43CD2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7C5399"/>
    <w:multiLevelType w:val="hybridMultilevel"/>
    <w:tmpl w:val="CEFC1C0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380313B1"/>
    <w:multiLevelType w:val="multilevel"/>
    <w:tmpl w:val="3280CB4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fr-FR"/>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6C702F8"/>
    <w:multiLevelType w:val="hybridMultilevel"/>
    <w:tmpl w:val="49FA8B3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nsid w:val="526F2F77"/>
    <w:multiLevelType w:val="hybridMultilevel"/>
    <w:tmpl w:val="BF3C0D50"/>
    <w:lvl w:ilvl="0" w:tplc="82D4981E">
      <w:start w:val="1"/>
      <w:numFmt w:val="bullet"/>
      <w:pStyle w:val="Liste1puce"/>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Wingdings"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Wingdings"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Wingdings"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9711FB6"/>
    <w:multiLevelType w:val="hybridMultilevel"/>
    <w:tmpl w:val="45B6D9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9A27CE"/>
    <w:multiLevelType w:val="multilevel"/>
    <w:tmpl w:val="7B6C58E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nsid w:val="5C0A2530"/>
    <w:multiLevelType w:val="hybridMultilevel"/>
    <w:tmpl w:val="B99664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7A2E035F"/>
    <w:multiLevelType w:val="hybridMultilevel"/>
    <w:tmpl w:val="A0BCEA9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D63247"/>
    <w:multiLevelType w:val="hybridMultilevel"/>
    <w:tmpl w:val="F356D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8"/>
  </w:num>
  <w:num w:numId="5">
    <w:abstractNumId w:val="3"/>
  </w:num>
  <w:num w:numId="6">
    <w:abstractNumId w:val="0"/>
  </w:num>
  <w:num w:numId="7">
    <w:abstractNumId w:val="7"/>
  </w:num>
  <w:num w:numId="8">
    <w:abstractNumId w:val="6"/>
  </w:num>
  <w:num w:numId="9">
    <w:abstractNumId w:val="9"/>
  </w:num>
  <w:num w:numId="10">
    <w:abstractNumId w:val="1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savePreviewPicture/>
  <w:compat/>
  <w:rsids>
    <w:rsidRoot w:val="005E55C1"/>
    <w:rsid w:val="00192BE2"/>
    <w:rsid w:val="001E7DEC"/>
    <w:rsid w:val="00345B5A"/>
    <w:rsid w:val="005E55C1"/>
    <w:rsid w:val="00764410"/>
    <w:rsid w:val="00906862"/>
    <w:rsid w:val="009C0F97"/>
    <w:rsid w:val="00C6578B"/>
    <w:rsid w:val="00C94EC7"/>
    <w:rsid w:val="00D1229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C1"/>
    <w:pPr>
      <w:spacing w:after="0" w:line="240" w:lineRule="auto"/>
      <w:jc w:val="both"/>
    </w:pPr>
    <w:rPr>
      <w:rFonts w:ascii="Arial" w:eastAsia="Calibri" w:hAnsi="Arial" w:cs="Times New Roman"/>
      <w:sz w:val="20"/>
    </w:rPr>
  </w:style>
  <w:style w:type="paragraph" w:styleId="Titre2">
    <w:name w:val="heading 2"/>
    <w:basedOn w:val="Normal"/>
    <w:next w:val="Normal"/>
    <w:link w:val="Titre2Car"/>
    <w:uiPriority w:val="9"/>
    <w:qFormat/>
    <w:rsid w:val="005E55C1"/>
    <w:pPr>
      <w:keepNext/>
      <w:spacing w:before="360" w:after="240"/>
      <w:outlineLvl w:val="1"/>
    </w:pPr>
    <w:rPr>
      <w:rFonts w:eastAsia="Times New Roman"/>
      <w:b/>
      <w:bCs/>
      <w:iCs/>
      <w:sz w:val="24"/>
      <w:szCs w:val="28"/>
    </w:rPr>
  </w:style>
  <w:style w:type="paragraph" w:styleId="Titre3">
    <w:name w:val="heading 3"/>
    <w:basedOn w:val="Normal"/>
    <w:next w:val="Normal"/>
    <w:link w:val="Titre3Car"/>
    <w:uiPriority w:val="9"/>
    <w:qFormat/>
    <w:rsid w:val="005E55C1"/>
    <w:pPr>
      <w:keepNext/>
      <w:spacing w:before="240" w:after="240"/>
      <w:ind w:left="709"/>
      <w:outlineLvl w:val="2"/>
    </w:pPr>
    <w:rPr>
      <w:rFonts w:eastAsia="Times New Roman"/>
      <w:b/>
      <w:bCs/>
      <w:i/>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E55C1"/>
    <w:rPr>
      <w:rFonts w:ascii="Arial" w:eastAsia="Times New Roman" w:hAnsi="Arial" w:cs="Times New Roman"/>
      <w:b/>
      <w:bCs/>
      <w:iCs/>
      <w:sz w:val="24"/>
      <w:szCs w:val="28"/>
    </w:rPr>
  </w:style>
  <w:style w:type="character" w:customStyle="1" w:styleId="Titre3Car">
    <w:name w:val="Titre 3 Car"/>
    <w:basedOn w:val="Policepardfaut"/>
    <w:link w:val="Titre3"/>
    <w:uiPriority w:val="9"/>
    <w:rsid w:val="005E55C1"/>
    <w:rPr>
      <w:rFonts w:ascii="Arial" w:eastAsia="Times New Roman" w:hAnsi="Arial" w:cs="Times New Roman"/>
      <w:b/>
      <w:bCs/>
      <w:i/>
      <w:sz w:val="20"/>
      <w:szCs w:val="26"/>
      <w:u w:val="single"/>
    </w:rPr>
  </w:style>
  <w:style w:type="paragraph" w:styleId="Notedebasdepage">
    <w:name w:val="footnote text"/>
    <w:aliases w:val="Footnote Text1,single space,Fußnotentextf,FOOTNOTES,fn Car Car,fn Car,ALTS FOOTNOTE,ADB,footnote text,fn,ft,Footnote Text Char1,Footnote Text Char Char,Texto nota pie Car,ft Car,ft Car Car,Texto nota pie2,ft1,ft Car Car Car1,Footnote"/>
    <w:basedOn w:val="Normal"/>
    <w:link w:val="NotedebasdepageCar"/>
    <w:uiPriority w:val="99"/>
    <w:unhideWhenUsed/>
    <w:rsid w:val="005E55C1"/>
    <w:rPr>
      <w:rFonts w:ascii="Calibri" w:hAnsi="Calibri"/>
      <w:szCs w:val="20"/>
    </w:rPr>
  </w:style>
  <w:style w:type="character" w:customStyle="1" w:styleId="NotedebasdepageCar">
    <w:name w:val="Note de bas de page Car"/>
    <w:aliases w:val="Footnote Text1 Car,single space Car,Fußnotentextf Car,FOOTNOTES Car,fn Car Car Car,fn Car Car1,ALTS FOOTNOTE Car,ADB Car,footnote text Car,fn Car1,ft Car1,Footnote Text Char1 Car,Footnote Text Char Char Car,Texto nota pie Car Car"/>
    <w:basedOn w:val="Policepardfaut"/>
    <w:link w:val="Notedebasdepage"/>
    <w:uiPriority w:val="99"/>
    <w:rsid w:val="005E55C1"/>
    <w:rPr>
      <w:rFonts w:ascii="Calibri" w:eastAsia="Calibri" w:hAnsi="Calibri" w:cs="Times New Roman"/>
      <w:sz w:val="20"/>
      <w:szCs w:val="20"/>
    </w:rPr>
  </w:style>
  <w:style w:type="paragraph" w:customStyle="1" w:styleId="Liste1puce">
    <w:name w:val="Liste 1 à puce"/>
    <w:basedOn w:val="Normal"/>
    <w:link w:val="Liste1puceCar"/>
    <w:qFormat/>
    <w:rsid w:val="005E55C1"/>
    <w:pPr>
      <w:numPr>
        <w:numId w:val="8"/>
      </w:numPr>
      <w:spacing w:before="120"/>
    </w:pPr>
    <w:rPr>
      <w:rFonts w:ascii="Calibri" w:hAnsi="Calibri"/>
      <w:sz w:val="24"/>
      <w:szCs w:val="20"/>
    </w:rPr>
  </w:style>
  <w:style w:type="character" w:customStyle="1" w:styleId="Liste1puceCar">
    <w:name w:val="Liste 1 à puce Car"/>
    <w:link w:val="Liste1puce"/>
    <w:rsid w:val="005E55C1"/>
    <w:rPr>
      <w:rFonts w:ascii="Calibri" w:eastAsia="Calibri" w:hAnsi="Calibri" w:cs="Times New Roman"/>
      <w:sz w:val="24"/>
      <w:szCs w:val="20"/>
    </w:rPr>
  </w:style>
  <w:style w:type="character" w:customStyle="1" w:styleId="Listecouleur-Accent1Car">
    <w:name w:val="Liste couleur - Accent 1 Car"/>
    <w:link w:val="Listecouleur-Accent1"/>
    <w:uiPriority w:val="99"/>
    <w:rsid w:val="005E55C1"/>
    <w:rPr>
      <w:rFonts w:ascii="Arial" w:eastAsia="Calibri" w:hAnsi="Arial" w:cs="Times New Roman"/>
      <w:sz w:val="20"/>
    </w:rPr>
  </w:style>
  <w:style w:type="table" w:styleId="Listecouleur-Accent1">
    <w:name w:val="Colorful List Accent 1"/>
    <w:basedOn w:val="TableauNormal"/>
    <w:link w:val="Listecouleur-Accent1Car"/>
    <w:uiPriority w:val="99"/>
    <w:semiHidden/>
    <w:unhideWhenUsed/>
    <w:rsid w:val="005E55C1"/>
    <w:pPr>
      <w:spacing w:after="0" w:line="240" w:lineRule="auto"/>
    </w:pPr>
    <w:rPr>
      <w:rFonts w:ascii="Arial" w:eastAsia="Calibri" w:hAnsi="Arial" w:cs="Times New Roman"/>
      <w:sz w:val="20"/>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Théodule DEGBE</dc:creator>
  <cp:lastModifiedBy>admin</cp:lastModifiedBy>
  <cp:revision>2</cp:revision>
  <dcterms:created xsi:type="dcterms:W3CDTF">2014-10-15T11:01:00Z</dcterms:created>
  <dcterms:modified xsi:type="dcterms:W3CDTF">2014-10-15T11:01:00Z</dcterms:modified>
</cp:coreProperties>
</file>